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4C" w:rsidRDefault="0028490C">
      <w:pPr>
        <w:spacing w:after="0" w:line="259" w:lineRule="auto"/>
        <w:ind w:left="31" w:right="0" w:firstLine="0"/>
        <w:jc w:val="center"/>
      </w:pPr>
      <w:r>
        <w:rPr>
          <w:b/>
          <w:sz w:val="28"/>
        </w:rPr>
        <w:t>ИЗВЕЩЕНИЕ О ПРОВЕДЕНИИ ЭЛЕКТРОННЫХ ТОРГОВ</w:t>
      </w:r>
      <w:r>
        <w:rPr>
          <w:sz w:val="28"/>
        </w:rPr>
        <w:t xml:space="preserve"> </w:t>
      </w:r>
    </w:p>
    <w:p w:rsidR="00715A4C" w:rsidRDefault="0028490C" w:rsidP="0028490C">
      <w:pPr>
        <w:spacing w:after="24" w:line="259" w:lineRule="auto"/>
        <w:ind w:left="34" w:right="0" w:firstLine="0"/>
        <w:jc w:val="left"/>
      </w:pPr>
      <w:r>
        <w:t xml:space="preserve"> </w:t>
      </w:r>
      <w:r>
        <w:rPr>
          <w:b/>
        </w:rPr>
        <w:t>Организатор электронных торгов:</w:t>
      </w:r>
      <w:r>
        <w:t xml:space="preserve"> Комитет государственного имущества Гродненского областного исполнительного комитета, </w:t>
      </w:r>
    </w:p>
    <w:p w:rsidR="00715A4C" w:rsidRDefault="0028490C">
      <w:pPr>
        <w:ind w:left="585" w:right="2613" w:hanging="566"/>
      </w:pPr>
      <w:r>
        <w:t xml:space="preserve">230023, Гродненская область, г. Гродно, ул. 17 Сентября, 39, 8(0152) 62 39 32, 62 39 31, 62 39 23, 62 39 24 </w:t>
      </w:r>
      <w:r>
        <w:rPr>
          <w:b/>
        </w:rPr>
        <w:t>Оператор электронной торговой площадки:</w:t>
      </w:r>
      <w:r>
        <w:t xml:space="preserve"> ОАО «Белорусская универсальная товарная биржа». </w:t>
      </w:r>
    </w:p>
    <w:p w:rsidR="00715A4C" w:rsidRDefault="0028490C">
      <w:pPr>
        <w:spacing w:after="23" w:line="259" w:lineRule="auto"/>
        <w:ind w:right="-9"/>
        <w:jc w:val="right"/>
      </w:pPr>
      <w:r>
        <w:rPr>
          <w:b/>
        </w:rPr>
        <w:t xml:space="preserve">Торги проводятся </w:t>
      </w:r>
      <w:r>
        <w:rPr>
          <w:b/>
          <w:u w:val="single" w:color="000000"/>
        </w:rPr>
        <w:t>19.08.2022</w:t>
      </w:r>
      <w:r>
        <w:t xml:space="preserve"> на</w:t>
      </w:r>
      <w:r>
        <w:rPr>
          <w:b/>
        </w:rPr>
        <w:t xml:space="preserve"> </w:t>
      </w:r>
      <w:r>
        <w:t>электронной торговой площадк</w:t>
      </w:r>
      <w:r>
        <w:t xml:space="preserve">е «БУТБ-Имущество», </w:t>
      </w:r>
      <w:hyperlink r:id="rId4">
        <w:r>
          <w:rPr>
            <w:b/>
            <w:color w:val="0563C1"/>
            <w:u w:val="single" w:color="0563C1"/>
          </w:rPr>
          <w:t>www</w:t>
        </w:r>
      </w:hyperlink>
      <w:hyperlink r:id="rId5">
        <w:r>
          <w:rPr>
            <w:b/>
            <w:color w:val="0563C1"/>
            <w:u w:val="single" w:color="0563C1"/>
          </w:rPr>
          <w:t>.</w:t>
        </w:r>
      </w:hyperlink>
      <w:hyperlink r:id="rId6">
        <w:r>
          <w:rPr>
            <w:b/>
            <w:color w:val="0563C1"/>
            <w:u w:val="single" w:color="0563C1"/>
          </w:rPr>
          <w:t>et</w:t>
        </w:r>
      </w:hyperlink>
      <w:hyperlink r:id="rId7">
        <w:r>
          <w:rPr>
            <w:b/>
            <w:color w:val="0563C1"/>
            <w:u w:val="single" w:color="0563C1"/>
          </w:rPr>
          <w:t>.</w:t>
        </w:r>
      </w:hyperlink>
      <w:hyperlink r:id="rId8">
        <w:r>
          <w:rPr>
            <w:b/>
            <w:color w:val="0563C1"/>
            <w:u w:val="single" w:color="0563C1"/>
          </w:rPr>
          <w:t>butb</w:t>
        </w:r>
      </w:hyperlink>
      <w:hyperlink r:id="rId9">
        <w:r>
          <w:rPr>
            <w:b/>
            <w:color w:val="0563C1"/>
            <w:u w:val="single" w:color="0563C1"/>
          </w:rPr>
          <w:t>.</w:t>
        </w:r>
      </w:hyperlink>
      <w:hyperlink r:id="rId10">
        <w:r>
          <w:rPr>
            <w:b/>
            <w:color w:val="0563C1"/>
            <w:u w:val="single" w:color="0563C1"/>
          </w:rPr>
          <w:t>by</w:t>
        </w:r>
      </w:hyperlink>
      <w:hyperlink r:id="rId11">
        <w:r>
          <w:rPr>
            <w:b/>
          </w:rPr>
          <w:t>.</w:t>
        </w:r>
      </w:hyperlink>
      <w:r>
        <w:rPr>
          <w:b/>
        </w:rPr>
        <w:t xml:space="preserve"> Время торгов </w:t>
      </w:r>
    </w:p>
    <w:p w:rsidR="00715A4C" w:rsidRDefault="0028490C">
      <w:pPr>
        <w:ind w:left="29" w:right="0"/>
      </w:pPr>
      <w:r>
        <w:t>устанавливается инструментарием площадки в автоматическом режиме</w:t>
      </w:r>
      <w:r>
        <w:rPr>
          <w:b/>
        </w:rPr>
        <w:t xml:space="preserve">. </w:t>
      </w:r>
    </w:p>
    <w:tbl>
      <w:tblPr>
        <w:tblStyle w:val="TableGrid"/>
        <w:tblW w:w="15237" w:type="dxa"/>
        <w:tblInd w:w="-74" w:type="dxa"/>
        <w:tblCellMar>
          <w:top w:w="7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75"/>
        <w:gridCol w:w="5631"/>
        <w:gridCol w:w="6096"/>
        <w:gridCol w:w="1417"/>
        <w:gridCol w:w="1418"/>
      </w:tblGrid>
      <w:tr w:rsidR="00715A4C" w:rsidTr="0028490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115" w:right="0" w:firstLine="0"/>
              <w:jc w:val="left"/>
            </w:pPr>
            <w:r>
              <w:t xml:space="preserve"> </w:t>
            </w:r>
            <w:r>
              <w:t xml:space="preserve">№ </w:t>
            </w:r>
          </w:p>
          <w:p w:rsidR="00715A4C" w:rsidRDefault="0028490C">
            <w:pPr>
              <w:spacing w:after="0" w:line="259" w:lineRule="auto"/>
              <w:ind w:left="2" w:right="0" w:firstLine="0"/>
              <w:jc w:val="left"/>
            </w:pPr>
            <w:r>
              <w:t>лота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предмета торгов; </w:t>
            </w:r>
            <w:r>
              <w:t xml:space="preserve">его местонахождение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94" w:firstLine="0"/>
              <w:jc w:val="center"/>
            </w:pPr>
            <w:r>
              <w:t xml:space="preserve">Краткая характеристика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0" w:firstLine="0"/>
              <w:jc w:val="center"/>
            </w:pPr>
            <w:r>
              <w:t xml:space="preserve">Начальная цена лота, бел.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0" w:firstLine="0"/>
              <w:jc w:val="center"/>
            </w:pPr>
            <w:r>
              <w:t xml:space="preserve">Сумма задатка,  бел. руб. </w:t>
            </w:r>
          </w:p>
        </w:tc>
      </w:tr>
      <w:tr w:rsidR="00715A4C" w:rsidTr="0028490C">
        <w:trPr>
          <w:trHeight w:val="1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38" w:lineRule="auto"/>
              <w:ind w:left="3" w:right="0" w:firstLine="0"/>
              <w:jc w:val="left"/>
            </w:pPr>
            <w:r>
              <w:t xml:space="preserve">Здание детского сада-яслей с составными частями и принадлежностями;   Гродненская область, </w:t>
            </w:r>
          </w:p>
          <w:p w:rsidR="00715A4C" w:rsidRDefault="0028490C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Зельвенский</w:t>
            </w:r>
            <w:proofErr w:type="spellEnd"/>
            <w:r>
              <w:t xml:space="preserve"> район, </w:t>
            </w:r>
            <w:proofErr w:type="spellStart"/>
            <w:r>
              <w:t>Голынковский</w:t>
            </w:r>
            <w:proofErr w:type="spellEnd"/>
            <w:r>
              <w:t xml:space="preserve"> сельсовет, деревня Пруд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28" w:firstLine="0"/>
              <w:jc w:val="left"/>
            </w:pPr>
            <w:r>
              <w:t xml:space="preserve">1970 </w:t>
            </w:r>
            <w:proofErr w:type="spellStart"/>
            <w:r>
              <w:t>г.п</w:t>
            </w:r>
            <w:proofErr w:type="spellEnd"/>
            <w:r>
              <w:t xml:space="preserve">. Составные части и принадлежности: две пристройки, колодец, две калитки, ворота, </w:t>
            </w:r>
            <w:proofErr w:type="spellStart"/>
            <w:r>
              <w:t>забор,сарай</w:t>
            </w:r>
            <w:proofErr w:type="spellEnd"/>
            <w:r>
              <w:t>, канализационная сеть, водопроводная сеть, овощехранилище, покрытие бетонное, забор деревянный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91" w:firstLine="0"/>
              <w:jc w:val="right"/>
            </w:pPr>
            <w:r>
              <w:t xml:space="preserve">288,00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C" w:rsidRDefault="0028490C">
            <w:pPr>
              <w:spacing w:after="0" w:line="259" w:lineRule="auto"/>
              <w:ind w:left="0" w:right="91" w:firstLine="0"/>
              <w:jc w:val="right"/>
            </w:pPr>
            <w:r>
              <w:t xml:space="preserve">32,00 </w:t>
            </w:r>
          </w:p>
        </w:tc>
      </w:tr>
    </w:tbl>
    <w:p w:rsidR="00715A4C" w:rsidRDefault="0028490C" w:rsidP="0028490C">
      <w:pPr>
        <w:spacing w:after="0" w:line="259" w:lineRule="auto"/>
        <w:ind w:left="34" w:right="0" w:firstLine="0"/>
      </w:pPr>
      <w:r>
        <w:rPr>
          <w:sz w:val="16"/>
        </w:rPr>
        <w:t xml:space="preserve"> </w:t>
      </w:r>
      <w:r>
        <w:t xml:space="preserve">Одно из обязательных условий торгов: </w:t>
      </w:r>
      <w:r>
        <w:t>начало осуществления покупателем предпринимательской деятельности с использованием приобретенного недвижимого имущества – не позднее 2 лет с даты заключения договора купли-продажи, а в случае его сноса и строительства нового капитального строения и (или) п</w:t>
      </w:r>
      <w:r>
        <w:t xml:space="preserve">роведения реконструкции (капитального ремонта) – не позднее 3 лет с даты заключения договора купли-продажи;  период осуществления покупателем предпринимательской деятельности с использованием приобретенного недвижимого имущества и (или) построенного после </w:t>
      </w:r>
      <w:r>
        <w:t>его сноса капитального строения – 2 года; реконструкция под жилые помещения в срок не более 3 лет с даты заключения договора купли-продажи, или перевод в жилое помещение без реконструкции – не более 2 лет с даты заключения договора купли-продажи, или начал</w:t>
      </w:r>
      <w:r>
        <w:t xml:space="preserve">о использования приобретенного недвижимого имущества для ведения личного подсобного хозяйства – не позднее 2 лет с даты заключения договора купли-продажи </w:t>
      </w:r>
    </w:p>
    <w:p w:rsidR="00715A4C" w:rsidRDefault="0028490C" w:rsidP="0028490C">
      <w:pPr>
        <w:spacing w:after="0" w:line="259" w:lineRule="auto"/>
        <w:ind w:left="34" w:right="0" w:firstLine="0"/>
      </w:pPr>
      <w:r>
        <w:rPr>
          <w:rFonts w:ascii="Calibri" w:eastAsia="Calibri" w:hAnsi="Calibri" w:cs="Calibri"/>
          <w:sz w:val="4"/>
        </w:rPr>
        <w:t xml:space="preserve"> </w:t>
      </w:r>
      <w:r>
        <w:rPr>
          <w:b/>
        </w:rPr>
        <w:t>Продавец:</w:t>
      </w:r>
      <w:r>
        <w:rPr>
          <w:i/>
        </w:rPr>
        <w:t xml:space="preserve"> </w:t>
      </w:r>
      <w:r>
        <w:rPr>
          <w:i/>
        </w:rPr>
        <w:t xml:space="preserve">Отдел образования </w:t>
      </w:r>
      <w:proofErr w:type="spellStart"/>
      <w:r>
        <w:rPr>
          <w:i/>
        </w:rPr>
        <w:t>Зельвенского</w:t>
      </w:r>
      <w:proofErr w:type="spellEnd"/>
      <w:r>
        <w:rPr>
          <w:i/>
        </w:rPr>
        <w:t xml:space="preserve"> районного исполнительного комитета, Гродненск</w:t>
      </w:r>
      <w:r>
        <w:rPr>
          <w:i/>
        </w:rPr>
        <w:t xml:space="preserve">ая обл., </w:t>
      </w:r>
      <w:proofErr w:type="spellStart"/>
      <w:r>
        <w:rPr>
          <w:i/>
        </w:rPr>
        <w:t>Зельвенский</w:t>
      </w:r>
      <w:proofErr w:type="spellEnd"/>
      <w:r>
        <w:rPr>
          <w:i/>
        </w:rPr>
        <w:t xml:space="preserve"> р-н, </w:t>
      </w:r>
      <w:proofErr w:type="spellStart"/>
      <w:r>
        <w:rPr>
          <w:i/>
        </w:rPr>
        <w:t>г.п</w:t>
      </w:r>
      <w:proofErr w:type="spellEnd"/>
      <w:r>
        <w:rPr>
          <w:i/>
        </w:rPr>
        <w:t xml:space="preserve">. Зельва, ул. 17 Сентября, д. 29; Тел. 8 (01564) 7 03 61, 3 20 74, 3 20 56 </w:t>
      </w:r>
    </w:p>
    <w:p w:rsidR="00715A4C" w:rsidRDefault="0028490C" w:rsidP="0028490C">
      <w:pPr>
        <w:spacing w:after="0" w:line="259" w:lineRule="auto"/>
        <w:ind w:left="458" w:right="0" w:firstLine="0"/>
      </w:pPr>
      <w:r>
        <w:rPr>
          <w:sz w:val="16"/>
        </w:rPr>
        <w:t xml:space="preserve"> </w:t>
      </w:r>
      <w:r>
        <w:rPr>
          <w:b/>
        </w:rPr>
        <w:t>Окончание приема заявлений на участие в торгах с прилагаемыми к ним документами</w:t>
      </w:r>
      <w:r>
        <w:t xml:space="preserve"> – 16.08.2022, до 15:00.</w:t>
      </w:r>
      <w:r>
        <w:rPr>
          <w:b/>
        </w:rPr>
        <w:t xml:space="preserve"> </w:t>
      </w:r>
    </w:p>
    <w:p w:rsidR="00715A4C" w:rsidRDefault="0028490C" w:rsidP="0028490C">
      <w:pPr>
        <w:spacing w:after="0"/>
        <w:ind w:left="19" w:right="0" w:firstLine="566"/>
      </w:pPr>
      <w:r>
        <w:rPr>
          <w:b/>
        </w:rPr>
        <w:t>Задаток</w:t>
      </w:r>
      <w:r>
        <w:t xml:space="preserve"> для</w:t>
      </w:r>
      <w:r>
        <w:t xml:space="preserve"> участия в торгах перечисляется на текущий (расчетный) банковский счет № BY60AKBB30120000066940000000 в ОАО «АСБ Беларусбанк» в г. Минске, код AKBBBY2X, УНП 190542056, получатель платежа – ОАО «Белорусская универсальная товарная биржа». </w:t>
      </w:r>
      <w:r>
        <w:rPr>
          <w:b/>
        </w:rPr>
        <w:t>Срок внесения задат</w:t>
      </w:r>
      <w:r>
        <w:rPr>
          <w:b/>
        </w:rPr>
        <w:t>ка</w:t>
      </w:r>
      <w:r>
        <w:t xml:space="preserve"> – не позднее даты и времени окончания приема заявлений на участие в торгах. </w:t>
      </w:r>
      <w:r>
        <w:rPr>
          <w:b/>
        </w:rPr>
        <w:t>Назначение платежа</w:t>
      </w:r>
      <w:r>
        <w:t xml:space="preserve">: внесение суммы задатка для участия в электронных торгах рег. № ___ по заявлению № ___. </w:t>
      </w:r>
    </w:p>
    <w:p w:rsidR="00715A4C" w:rsidRDefault="0028490C" w:rsidP="0028490C">
      <w:pPr>
        <w:ind w:left="19" w:right="0" w:firstLine="566"/>
      </w:pPr>
      <w:r>
        <w:t>Электронные торги проводятся в порядке, установленном Положением о по</w:t>
      </w:r>
      <w:r>
        <w:t>рядке проведения электронных торгов, утвержденным постановлением Совета Министров Республики Беларусь от 12.07.2013 № 608 и Регламентом организации и проведения электронных торгов по продаже имущества и имущественных прав на электронной торговой площадке О</w:t>
      </w:r>
      <w:r>
        <w:t xml:space="preserve">АО «Белорусская универсальная товарная биржа». </w:t>
      </w:r>
      <w:r>
        <w:rPr>
          <w:b/>
        </w:rPr>
        <w:t xml:space="preserve">Сроки возмещение затрат на организацию и проведение торгов: </w:t>
      </w:r>
    </w:p>
    <w:p w:rsidR="00715A4C" w:rsidRDefault="0028490C" w:rsidP="0028490C">
      <w:pPr>
        <w:spacing w:after="41" w:line="242" w:lineRule="auto"/>
        <w:ind w:left="-15" w:right="74" w:firstLine="448"/>
      </w:pPr>
      <w:r>
        <w:rPr>
          <w:i/>
        </w:rPr>
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</w:t>
      </w:r>
      <w:r>
        <w:rPr>
          <w:i/>
        </w:rPr>
        <w:t>атраты на организацию и проведение торгов, иные платежи, указанные в протоколе.</w:t>
      </w:r>
      <w:r>
        <w:rPr>
          <w:sz w:val="16"/>
        </w:rPr>
        <w:t xml:space="preserve"> </w:t>
      </w:r>
      <w:r>
        <w:rPr>
          <w:b/>
        </w:rPr>
        <w:t xml:space="preserve">Сроки и условия заключения договора: </w:t>
      </w:r>
    </w:p>
    <w:p w:rsidR="00715A4C" w:rsidRDefault="0028490C" w:rsidP="0028490C">
      <w:pPr>
        <w:spacing w:after="2" w:line="242" w:lineRule="auto"/>
        <w:ind w:left="-15" w:right="74" w:firstLine="317"/>
      </w:pPr>
      <w:r>
        <w:rPr>
          <w:i/>
        </w:rPr>
        <w:t xml:space="preserve">Срок подписания договора купли-продажи недвижимого имущества и аренды земельного участка – </w:t>
      </w:r>
      <w:r>
        <w:rPr>
          <w:i/>
        </w:rPr>
        <w:t>не позднее 2 рабочих дней со дня возмещения вышеназванных затрат, иных платежей, указанных в протоколе о результатах торгов.</w:t>
      </w:r>
      <w:r>
        <w:rPr>
          <w:sz w:val="16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715A4C" w:rsidSect="0028490C">
      <w:pgSz w:w="16838" w:h="11906" w:orient="landscape"/>
      <w:pgMar w:top="475" w:right="1131" w:bottom="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4C"/>
    <w:rsid w:val="0028490C"/>
    <w:rsid w:val="007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8B52-09DD-4576-962C-1F9FE58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butb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.butb.b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.butb.by/" TargetMode="External"/><Relationship Id="rId11" Type="http://schemas.openxmlformats.org/officeDocument/2006/relationships/hyperlink" Target="http://www.et.butb.by/" TargetMode="External"/><Relationship Id="rId5" Type="http://schemas.openxmlformats.org/officeDocument/2006/relationships/hyperlink" Target="http://www.et.butb.by/" TargetMode="External"/><Relationship Id="rId10" Type="http://schemas.openxmlformats.org/officeDocument/2006/relationships/hyperlink" Target="http://www.et.butb.by/" TargetMode="External"/><Relationship Id="rId4" Type="http://schemas.openxmlformats.org/officeDocument/2006/relationships/hyperlink" Target="http://www.et.butb.by/" TargetMode="External"/><Relationship Id="rId9" Type="http://schemas.openxmlformats.org/officeDocument/2006/relationships/hyperlink" Target="http://www.et.but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Local_uchet1</dc:creator>
  <cp:keywords/>
  <cp:lastModifiedBy>Local_uchet1</cp:lastModifiedBy>
  <cp:revision>2</cp:revision>
  <dcterms:created xsi:type="dcterms:W3CDTF">2022-07-26T11:36:00Z</dcterms:created>
  <dcterms:modified xsi:type="dcterms:W3CDTF">2022-07-26T11:36:00Z</dcterms:modified>
</cp:coreProperties>
</file>